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E0" w:rsidRDefault="005173E0" w:rsidP="005173E0">
      <w:pPr>
        <w:spacing w:line="480" w:lineRule="auto"/>
      </w:pPr>
      <w:r>
        <w:t>To</w:t>
      </w:r>
      <w:r w:rsidRPr="005173E0">
        <w:rPr>
          <w:u w:val="single"/>
        </w:rPr>
        <w:t xml:space="preserve"> _________________________</w:t>
      </w:r>
      <w:r>
        <w:t xml:space="preserve"> , </w:t>
      </w:r>
    </w:p>
    <w:p w:rsidR="005D50F5" w:rsidRDefault="005173E0" w:rsidP="005173E0">
      <w:pPr>
        <w:spacing w:line="480" w:lineRule="auto"/>
      </w:pPr>
      <w:r>
        <w:tab/>
        <w:t xml:space="preserve">On </w:t>
      </w:r>
      <w:r w:rsidRPr="005173E0">
        <w:rPr>
          <w:u w:val="single"/>
        </w:rPr>
        <w:t>_________________</w:t>
      </w:r>
      <w:r>
        <w:t xml:space="preserve"> , I was given a 20 day notice for the termination of my month to month lease agreement. However, Seattle month to month renters are protected by the city’s </w:t>
      </w:r>
      <w:r w:rsidRPr="005173E0">
        <w:rPr>
          <w:i/>
        </w:rPr>
        <w:t>Just Cause Eviction Ordi</w:t>
      </w:r>
      <w:r>
        <w:rPr>
          <w:i/>
        </w:rPr>
        <w:t>n</w:t>
      </w:r>
      <w:r w:rsidRPr="005173E0">
        <w:rPr>
          <w:i/>
        </w:rPr>
        <w:t>ance</w:t>
      </w:r>
      <w:r>
        <w:t>. This law requires landlords in incorporated Seattle to give month to month renters a good reason, or “just cause”, to terminate the month to month tenancy. I ask that if you wish to terminat</w:t>
      </w:r>
      <w:r w:rsidR="005D50F5">
        <w:t>e my</w:t>
      </w:r>
      <w:r w:rsidR="00285E1E">
        <w:t xml:space="preserve"> agreement, please cite a valid</w:t>
      </w:r>
      <w:r w:rsidR="005D50F5">
        <w:t xml:space="preserve"> just cause.</w:t>
      </w:r>
      <w:bookmarkStart w:id="0" w:name="_GoBack"/>
      <w:bookmarkEnd w:id="0"/>
    </w:p>
    <w:p w:rsidR="005D50F5" w:rsidRDefault="005D50F5" w:rsidP="005173E0">
      <w:pPr>
        <w:spacing w:line="480" w:lineRule="auto"/>
      </w:pPr>
    </w:p>
    <w:p w:rsidR="005D50F5" w:rsidRDefault="005D50F5" w:rsidP="005173E0">
      <w:pPr>
        <w:spacing w:line="480" w:lineRule="auto"/>
      </w:pPr>
    </w:p>
    <w:p w:rsidR="005D50F5" w:rsidRDefault="005D50F5" w:rsidP="005173E0">
      <w:pPr>
        <w:spacing w:line="480" w:lineRule="auto"/>
      </w:pPr>
      <w:r>
        <w:tab/>
      </w:r>
      <w:r>
        <w:tab/>
      </w:r>
      <w:r>
        <w:tab/>
      </w:r>
      <w:r>
        <w:tab/>
      </w:r>
      <w:r>
        <w:tab/>
      </w:r>
      <w:r>
        <w:tab/>
      </w:r>
      <w:r>
        <w:tab/>
      </w:r>
      <w:r>
        <w:tab/>
        <w:t>Best,</w:t>
      </w:r>
    </w:p>
    <w:p w:rsidR="005D50F5" w:rsidRPr="005D50F5" w:rsidRDefault="005D50F5" w:rsidP="005173E0">
      <w:pPr>
        <w:spacing w:line="480" w:lineRule="auto"/>
        <w:rPr>
          <w:u w:val="single"/>
        </w:rPr>
      </w:pPr>
      <w:r>
        <w:tab/>
      </w:r>
      <w:r>
        <w:tab/>
      </w:r>
      <w:r>
        <w:tab/>
      </w:r>
      <w:r>
        <w:tab/>
      </w:r>
      <w:r>
        <w:tab/>
      </w:r>
      <w:r>
        <w:tab/>
      </w:r>
      <w:r>
        <w:tab/>
      </w:r>
      <w:r>
        <w:tab/>
      </w:r>
      <w:r w:rsidRPr="005D50F5">
        <w:rPr>
          <w:u w:val="single"/>
        </w:rPr>
        <w:t>____________________________</w:t>
      </w:r>
    </w:p>
    <w:p w:rsidR="005D50F5" w:rsidRDefault="005D50F5" w:rsidP="005173E0">
      <w:pPr>
        <w:spacing w:line="480" w:lineRule="auto"/>
      </w:pPr>
    </w:p>
    <w:p w:rsidR="005D50F5" w:rsidRDefault="005D50F5" w:rsidP="005173E0">
      <w:pPr>
        <w:spacing w:line="480" w:lineRule="auto"/>
      </w:pPr>
    </w:p>
    <w:p w:rsidR="005D50F5" w:rsidRDefault="005D50F5" w:rsidP="005173E0">
      <w:pPr>
        <w:spacing w:line="480" w:lineRule="auto"/>
      </w:pPr>
    </w:p>
    <w:p w:rsidR="005D50F5" w:rsidRDefault="005D50F5" w:rsidP="005173E0">
      <w:pPr>
        <w:spacing w:line="480" w:lineRule="auto"/>
      </w:pPr>
    </w:p>
    <w:p w:rsidR="005D50F5" w:rsidRDefault="005D50F5" w:rsidP="005173E0">
      <w:pPr>
        <w:spacing w:line="480" w:lineRule="auto"/>
      </w:pPr>
    </w:p>
    <w:p w:rsidR="005D50F5" w:rsidRDefault="005D50F5" w:rsidP="005173E0">
      <w:pPr>
        <w:spacing w:line="480" w:lineRule="auto"/>
      </w:pPr>
    </w:p>
    <w:p w:rsidR="005D50F5" w:rsidRDefault="005D50F5" w:rsidP="005173E0">
      <w:pPr>
        <w:spacing w:line="480" w:lineRule="auto"/>
      </w:pPr>
    </w:p>
    <w:p w:rsidR="005D50F5" w:rsidRDefault="005D50F5" w:rsidP="005173E0">
      <w:pPr>
        <w:spacing w:line="480" w:lineRule="auto"/>
      </w:pPr>
    </w:p>
    <w:p w:rsidR="005D50F5" w:rsidRDefault="005D50F5" w:rsidP="005173E0">
      <w:pPr>
        <w:spacing w:line="480" w:lineRule="auto"/>
      </w:pPr>
    </w:p>
    <w:p w:rsidR="005D50F5" w:rsidRPr="005D50F5" w:rsidRDefault="005D50F5" w:rsidP="005D50F5">
      <w:pPr>
        <w:pStyle w:val="ListParagraph"/>
        <w:numPr>
          <w:ilvl w:val="0"/>
          <w:numId w:val="2"/>
        </w:numPr>
        <w:shd w:val="clear" w:color="auto" w:fill="FFFFFF"/>
        <w:spacing w:after="48" w:line="240" w:lineRule="auto"/>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lastRenderedPageBreak/>
        <w:t>Just cause eviction</w:t>
      </w:r>
    </w:p>
    <w:p w:rsidR="005D50F5" w:rsidRPr="005D50F5" w:rsidRDefault="005D50F5" w:rsidP="005D50F5">
      <w:pPr>
        <w:shd w:val="clear" w:color="auto" w:fill="FFFFFF"/>
        <w:spacing w:after="48" w:line="240" w:lineRule="auto"/>
        <w:ind w:left="48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1.</w:t>
      </w:r>
    </w:p>
    <w:p w:rsidR="005D50F5" w:rsidRPr="005D50F5" w:rsidRDefault="005D50F5" w:rsidP="005D50F5">
      <w:pPr>
        <w:shd w:val="clear" w:color="auto" w:fill="FFFFFF"/>
        <w:spacing w:after="48" w:line="240" w:lineRule="auto"/>
        <w:ind w:left="96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Pursuant to provisions of the state Residential Landlord-Tenant Act (RCW 59.18.290), owners may not evict residential tenants without a court order, which can be issued by a court only after the tenant has an opportunity in a show cause hearing to contest the eviction (RCW 59.18.380). Owners of housing units shall not evict or attempt to evict any tenant, or otherwise terminate or attempt to terminate the tenancy of any tenant unless the owner can prove in court that just cause exists. Owners may not evict residential tenants from rental housing units if the units are not registered with the Seattle Department of Construction and Inspections as required by</w:t>
      </w:r>
      <w:hyperlink r:id="rId6" w:history="1">
        <w:r w:rsidRPr="005D50F5">
          <w:rPr>
            <w:rFonts w:ascii="Arial" w:eastAsia="Times New Roman" w:hAnsi="Arial" w:cs="Arial"/>
            <w:color w:val="2196F3"/>
            <w:spacing w:val="2"/>
            <w:sz w:val="21"/>
            <w:szCs w:val="21"/>
            <w:u w:val="single"/>
          </w:rPr>
          <w:t> Section 22.214.040</w:t>
        </w:r>
      </w:hyperlink>
      <w:r w:rsidRPr="005D50F5">
        <w:rPr>
          <w:rFonts w:ascii="Arial" w:eastAsia="Times New Roman" w:hAnsi="Arial" w:cs="Arial"/>
          <w:color w:val="313335"/>
          <w:spacing w:val="2"/>
          <w:sz w:val="21"/>
          <w:szCs w:val="21"/>
        </w:rPr>
        <w:t>, regardless of whether just cause for eviction may exist. An owner is in compliance with this registration requirement if the rental housing unit is registered with the Seattle Department of Construction and Inspections before entry of a court order authorizing eviction or before a writ of restitution is granted. A court may grant a continuance in an eviction action in order to give the owner time to register the rental housing unit. The reasons for termination of tenancy listed below, and no others, shall constitute just cause under this</w:t>
      </w:r>
      <w:hyperlink r:id="rId7" w:history="1">
        <w:r w:rsidRPr="005D50F5">
          <w:rPr>
            <w:rFonts w:ascii="Arial" w:eastAsia="Times New Roman" w:hAnsi="Arial" w:cs="Arial"/>
            <w:color w:val="2196F3"/>
            <w:spacing w:val="2"/>
            <w:sz w:val="21"/>
            <w:szCs w:val="21"/>
            <w:u w:val="single"/>
          </w:rPr>
          <w:t> Section 22.206.160</w:t>
        </w:r>
      </w:hyperlink>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a</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tenant fails to comply with a three day notice to pay rent or vacate pursuant to RCW 59.12.030(3); a ten day notice to comply or vacate pursuant to RCW 59.12.030(4); or a three day notice to vacate for waste, nuisance (including a drug-related activity nuisance pursuant to chapter RCW 7.43), or maintenance of an unlawful business or conduct pursuant to RCW 59.12.030(5);</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b</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tenant habitually fails to pay rent when due which causes the owner to notify the tenant in writing of late rent four or more times in a 12 month period;</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c</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tenant fails to comply with a ten day notice to comply or vacate that requires compliance with a material term of the rental agreement or that requires compliance with a material obligation under chapter 59.18 RCW;</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d</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tenant habitually fails to comply with the material terms of the rental agreement which causes the owner to serve a ten day notice to comply or vacate three or more times in a 12 month period;</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e</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seeks possession so that the owner or a member of his or her immediate family may occupy the unit as that person's principal residence and no substantially equivalent unit is vacant and available in the same building, and the owner has given the tenant at least 90 days' advance written notice of the date the tenant's possession is to end. The Director may reduce the time required to give notice to no less than 20 days if the Director determines that delaying occupancy will result in a personal hardship to the owner or to the owner's immediate family. Personal hardship may include but is not limited to hardship caused by illness or accident, unemployment, or job relocation. For the purposes of this</w:t>
      </w:r>
      <w:hyperlink r:id="rId8" w:history="1">
        <w:r w:rsidRPr="005D50F5">
          <w:rPr>
            <w:rFonts w:ascii="Arial" w:eastAsia="Times New Roman" w:hAnsi="Arial" w:cs="Arial"/>
            <w:color w:val="2196F3"/>
            <w:spacing w:val="2"/>
            <w:sz w:val="21"/>
            <w:szCs w:val="21"/>
            <w:u w:val="single"/>
          </w:rPr>
          <w:t> Section 22.206.160</w:t>
        </w:r>
      </w:hyperlink>
      <w:r w:rsidRPr="005D50F5">
        <w:rPr>
          <w:rFonts w:ascii="Arial" w:eastAsia="Times New Roman" w:hAnsi="Arial" w:cs="Arial"/>
          <w:color w:val="313335"/>
          <w:spacing w:val="2"/>
          <w:sz w:val="21"/>
          <w:szCs w:val="21"/>
        </w:rPr>
        <w:t xml:space="preserve">, "Immediate family" includes the owner's domestic partner registered pursuant to Section 1 of Ordinance 117244 or the owner's spouse, parents, grandparents, children, brothers and sisters of the owner, of the owner's spouse, or of the owner's domestic partner. There is a rebuttable presumption of a violation of this subsection 22.206.160.C.1.e if the owner or a member of the owner's immediate family fails to occupy the unit as that person's principal residence for at least 60 consecutive days during the 90 days immediately after the tenant vacated </w:t>
      </w:r>
      <w:r w:rsidRPr="005D50F5">
        <w:rPr>
          <w:rFonts w:ascii="Arial" w:eastAsia="Times New Roman" w:hAnsi="Arial" w:cs="Arial"/>
          <w:color w:val="313335"/>
          <w:spacing w:val="2"/>
          <w:sz w:val="21"/>
          <w:szCs w:val="21"/>
        </w:rPr>
        <w:lastRenderedPageBreak/>
        <w:t>the unit pursuant to a notice of termination or eviction using this subparagraph as the cause for eviction;</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f</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elects to sell a single-family dwelling unit and gives the tenant at least 90 days' written notice prior to the date set for vacating, which date shall coincide with the end of the term of a rental agreement, or if the agreement is month to month, with the last day of a monthly period. The Director may reduce the time required to give notice to no less than 60 days if the Director determines that providing 90 days' notice will result in a personal hardship to the owner. Personal hardship may include but is not limited to hardship caused by illness or accident, unemployment, or job relocation. For the purposes of this</w:t>
      </w:r>
      <w:hyperlink r:id="rId9" w:history="1">
        <w:r w:rsidRPr="005D50F5">
          <w:rPr>
            <w:rFonts w:ascii="Arial" w:eastAsia="Times New Roman" w:hAnsi="Arial" w:cs="Arial"/>
            <w:color w:val="2196F3"/>
            <w:spacing w:val="2"/>
            <w:sz w:val="21"/>
            <w:szCs w:val="21"/>
            <w:u w:val="single"/>
          </w:rPr>
          <w:t> Section 22.206.160</w:t>
        </w:r>
      </w:hyperlink>
      <w:r w:rsidRPr="005D50F5">
        <w:rPr>
          <w:rFonts w:ascii="Arial" w:eastAsia="Times New Roman" w:hAnsi="Arial" w:cs="Arial"/>
          <w:color w:val="313335"/>
          <w:spacing w:val="2"/>
          <w:sz w:val="21"/>
          <w:szCs w:val="21"/>
        </w:rPr>
        <w:t>, an owner "elects to sell" when the owner makes reasonable attempts to sell the dwelling within 30 days after the tenant has vacated, including, at a minimum, listing it for sale at a reasonable price with a realty agency or advertising it for sale at a reasonable price in a newspaper of general circulation. There shall be a rebuttable presumption that the owner did not intend to sell the unit if:</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1)</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Within 30 days after the tenant has vacated, the owner does not list the single-family dwelling unit for sale at a reasonable price with a realty agency or advertise it for sale at a reasonable price in a newspaper of general circulation, or</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Within 90 days after the date the tenant vacated or the date the property was listed for sale, whichever is later, the owner withdraws the rental unit from the market, rents the unit to someone other than the former tenant, or otherwise indicates that the owner does not intend to sell the unit;</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g</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tenant's occupancy is conditioned upon employment on the property and the employment relationship is terminated;</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h</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seeks to do substantial rehabilitation in the building; provided that, the owner must obtain a tenant relocation license if required by</w:t>
      </w:r>
      <w:hyperlink r:id="rId10" w:history="1">
        <w:r w:rsidRPr="005D50F5">
          <w:rPr>
            <w:rFonts w:ascii="Arial" w:eastAsia="Times New Roman" w:hAnsi="Arial" w:cs="Arial"/>
            <w:color w:val="2196F3"/>
            <w:spacing w:val="2"/>
            <w:sz w:val="21"/>
            <w:szCs w:val="21"/>
            <w:u w:val="single"/>
          </w:rPr>
          <w:t> Chapter 22.210</w:t>
        </w:r>
      </w:hyperlink>
      <w:r w:rsidRPr="005D50F5">
        <w:rPr>
          <w:rFonts w:ascii="Arial" w:eastAsia="Times New Roman" w:hAnsi="Arial" w:cs="Arial"/>
          <w:color w:val="313335"/>
          <w:spacing w:val="2"/>
          <w:sz w:val="21"/>
          <w:szCs w:val="21"/>
        </w:rPr>
        <w:t> and at least one permit necessary for the rehabilitation, other than a Master Use Permit, before terminating the tenancy;</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spellStart"/>
      <w:proofErr w:type="gramStart"/>
      <w:r w:rsidRPr="005D50F5">
        <w:rPr>
          <w:rFonts w:ascii="Arial" w:eastAsia="Times New Roman" w:hAnsi="Arial" w:cs="Arial"/>
          <w:color w:val="313335"/>
          <w:spacing w:val="2"/>
          <w:sz w:val="21"/>
          <w:szCs w:val="21"/>
        </w:rPr>
        <w:t>i</w:t>
      </w:r>
      <w:proofErr w:type="spellEnd"/>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w:t>
      </w:r>
      <w:proofErr w:type="spellStart"/>
      <w:r w:rsidRPr="005D50F5">
        <w:rPr>
          <w:rFonts w:ascii="Arial" w:eastAsia="Times New Roman" w:hAnsi="Arial" w:cs="Arial"/>
          <w:color w:val="313335"/>
          <w:spacing w:val="2"/>
          <w:sz w:val="21"/>
          <w:szCs w:val="21"/>
        </w:rPr>
        <w:t>i</w:t>
      </w:r>
      <w:proofErr w:type="spellEnd"/>
      <w:r w:rsidRPr="005D50F5">
        <w:rPr>
          <w:rFonts w:ascii="Arial" w:eastAsia="Times New Roman" w:hAnsi="Arial" w:cs="Arial"/>
          <w:color w:val="313335"/>
          <w:spacing w:val="2"/>
          <w:sz w:val="21"/>
          <w:szCs w:val="21"/>
        </w:rPr>
        <w:t>) elects to demolish the building, convert it to a cooperative, or convert it to a nonresidential use; provided that, the owner must obtain a tenant relocation license if required by</w:t>
      </w:r>
      <w:hyperlink r:id="rId11" w:history="1">
        <w:r w:rsidRPr="005D50F5">
          <w:rPr>
            <w:rFonts w:ascii="Arial" w:eastAsia="Times New Roman" w:hAnsi="Arial" w:cs="Arial"/>
            <w:color w:val="2196F3"/>
            <w:spacing w:val="2"/>
            <w:sz w:val="21"/>
            <w:szCs w:val="21"/>
            <w:u w:val="single"/>
          </w:rPr>
          <w:t> Chapter 22.210</w:t>
        </w:r>
      </w:hyperlink>
      <w:r w:rsidRPr="005D50F5">
        <w:rPr>
          <w:rFonts w:ascii="Arial" w:eastAsia="Times New Roman" w:hAnsi="Arial" w:cs="Arial"/>
          <w:color w:val="313335"/>
          <w:spacing w:val="2"/>
          <w:sz w:val="21"/>
          <w:szCs w:val="21"/>
        </w:rPr>
        <w:t> and a permit necessary to demolish or change the use before terminating any tenancy, or (ii) converts the building to a condominium provided the owner complies with the provisions of Sections</w:t>
      </w:r>
      <w:hyperlink r:id="rId12" w:history="1">
        <w:r w:rsidRPr="005D50F5">
          <w:rPr>
            <w:rFonts w:ascii="Arial" w:eastAsia="Times New Roman" w:hAnsi="Arial" w:cs="Arial"/>
            <w:color w:val="2196F3"/>
            <w:spacing w:val="2"/>
            <w:sz w:val="21"/>
            <w:szCs w:val="21"/>
            <w:u w:val="single"/>
          </w:rPr>
          <w:t> 22.903.030</w:t>
        </w:r>
      </w:hyperlink>
      <w:r w:rsidRPr="005D50F5">
        <w:rPr>
          <w:rFonts w:ascii="Arial" w:eastAsia="Times New Roman" w:hAnsi="Arial" w:cs="Arial"/>
          <w:color w:val="313335"/>
          <w:spacing w:val="2"/>
          <w:sz w:val="21"/>
          <w:szCs w:val="21"/>
        </w:rPr>
        <w:t> and</w:t>
      </w:r>
      <w:hyperlink r:id="rId13" w:history="1">
        <w:r w:rsidRPr="005D50F5">
          <w:rPr>
            <w:rFonts w:ascii="Arial" w:eastAsia="Times New Roman" w:hAnsi="Arial" w:cs="Arial"/>
            <w:color w:val="2196F3"/>
            <w:spacing w:val="2"/>
            <w:sz w:val="21"/>
            <w:szCs w:val="21"/>
            <w:u w:val="single"/>
          </w:rPr>
          <w:t> 22.903.035</w:t>
        </w:r>
      </w:hyperlink>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j</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seeks to discontinue use of a housing unit unauthorized by</w:t>
      </w:r>
      <w:hyperlink r:id="rId14" w:history="1">
        <w:r w:rsidRPr="005D50F5">
          <w:rPr>
            <w:rFonts w:ascii="Arial" w:eastAsia="Times New Roman" w:hAnsi="Arial" w:cs="Arial"/>
            <w:color w:val="2196F3"/>
            <w:spacing w:val="2"/>
            <w:sz w:val="21"/>
            <w:szCs w:val="21"/>
            <w:u w:val="single"/>
          </w:rPr>
          <w:t> Title 23</w:t>
        </w:r>
      </w:hyperlink>
      <w:r w:rsidRPr="005D50F5">
        <w:rPr>
          <w:rFonts w:ascii="Arial" w:eastAsia="Times New Roman" w:hAnsi="Arial" w:cs="Arial"/>
          <w:color w:val="313335"/>
          <w:spacing w:val="2"/>
          <w:sz w:val="21"/>
          <w:szCs w:val="21"/>
        </w:rPr>
        <w:t> after receipt of a notice of violation. The owner is required to pay relocation assistance to the tenant(s) of each such unit at least two weeks prior to the date set for termination of the tenancy, at the rate of:</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1)</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$2,000 for a tenant household with an income during the past 12 months at or below 50 percent of the County median income, or</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lastRenderedPageBreak/>
        <w:t>Two months' rent for a tenant household with an income during the past 12 months above 50 percent of the County median income;</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k</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seeks to reduce the number of individuals residing in a dwelling unit to comply with the maximum limit of individuals allowed to occupy one dwelling unit, as required by</w:t>
      </w:r>
      <w:hyperlink r:id="rId15" w:history="1">
        <w:r w:rsidRPr="005D50F5">
          <w:rPr>
            <w:rFonts w:ascii="Arial" w:eastAsia="Times New Roman" w:hAnsi="Arial" w:cs="Arial"/>
            <w:color w:val="2196F3"/>
            <w:spacing w:val="2"/>
            <w:sz w:val="21"/>
            <w:szCs w:val="21"/>
            <w:u w:val="single"/>
          </w:rPr>
          <w:t> Title 23</w:t>
        </w:r>
      </w:hyperlink>
      <w:r w:rsidRPr="005D50F5">
        <w:rPr>
          <w:rFonts w:ascii="Arial" w:eastAsia="Times New Roman" w:hAnsi="Arial" w:cs="Arial"/>
          <w:color w:val="313335"/>
          <w:spacing w:val="2"/>
          <w:sz w:val="21"/>
          <w:szCs w:val="21"/>
        </w:rPr>
        <w:t>, and:</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1)</w:t>
      </w:r>
    </w:p>
    <w:p w:rsidR="005D50F5" w:rsidRPr="005D50F5" w:rsidRDefault="005D50F5" w:rsidP="005D50F5">
      <w:pPr>
        <w:shd w:val="clear" w:color="auto" w:fill="FFFFFF"/>
        <w:spacing w:before="48" w:after="0" w:line="240" w:lineRule="auto"/>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a)</w:t>
      </w:r>
    </w:p>
    <w:p w:rsidR="005D50F5" w:rsidRPr="005D50F5" w:rsidRDefault="005D50F5" w:rsidP="005D50F5">
      <w:pPr>
        <w:shd w:val="clear" w:color="auto" w:fill="FFFFFF"/>
        <w:spacing w:after="48" w:line="240" w:lineRule="auto"/>
        <w:ind w:left="240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number of such individuals was more than is lawful under the current version of</w:t>
      </w:r>
      <w:hyperlink r:id="rId16" w:history="1">
        <w:r w:rsidRPr="005D50F5">
          <w:rPr>
            <w:rFonts w:ascii="Arial" w:eastAsia="Times New Roman" w:hAnsi="Arial" w:cs="Arial"/>
            <w:color w:val="2196F3"/>
            <w:spacing w:val="2"/>
            <w:sz w:val="21"/>
            <w:szCs w:val="21"/>
            <w:u w:val="single"/>
          </w:rPr>
          <w:t> Title 23</w:t>
        </w:r>
      </w:hyperlink>
      <w:r w:rsidRPr="005D50F5">
        <w:rPr>
          <w:rFonts w:ascii="Arial" w:eastAsia="Times New Roman" w:hAnsi="Arial" w:cs="Arial"/>
          <w:color w:val="313335"/>
          <w:spacing w:val="2"/>
          <w:sz w:val="21"/>
          <w:szCs w:val="21"/>
        </w:rPr>
        <w:t> but was lawful under</w:t>
      </w:r>
      <w:hyperlink r:id="rId17" w:history="1">
        <w:r w:rsidRPr="005D50F5">
          <w:rPr>
            <w:rFonts w:ascii="Arial" w:eastAsia="Times New Roman" w:hAnsi="Arial" w:cs="Arial"/>
            <w:color w:val="2196F3"/>
            <w:spacing w:val="2"/>
            <w:sz w:val="21"/>
            <w:szCs w:val="21"/>
            <w:u w:val="single"/>
          </w:rPr>
          <w:t> Title 23</w:t>
        </w:r>
      </w:hyperlink>
      <w:r w:rsidRPr="005D50F5">
        <w:rPr>
          <w:rFonts w:ascii="Arial" w:eastAsia="Times New Roman" w:hAnsi="Arial" w:cs="Arial"/>
          <w:color w:val="313335"/>
          <w:spacing w:val="2"/>
          <w:sz w:val="21"/>
          <w:szCs w:val="21"/>
        </w:rPr>
        <w:t> or Title 24 on August 10, 1994;</w:t>
      </w:r>
    </w:p>
    <w:p w:rsidR="005D50F5" w:rsidRPr="005D50F5" w:rsidRDefault="005D50F5" w:rsidP="005D50F5">
      <w:pPr>
        <w:shd w:val="clear" w:color="auto" w:fill="FFFFFF"/>
        <w:spacing w:after="48" w:line="240" w:lineRule="auto"/>
        <w:ind w:left="192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b)</w:t>
      </w:r>
    </w:p>
    <w:p w:rsidR="005D50F5" w:rsidRPr="005D50F5" w:rsidRDefault="005D50F5" w:rsidP="005D50F5">
      <w:pPr>
        <w:shd w:val="clear" w:color="auto" w:fill="FFFFFF"/>
        <w:spacing w:after="48" w:line="240" w:lineRule="auto"/>
        <w:ind w:left="240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That number has not increased with the knowledge or consent of the owner at any time after August 10, 1994; and</w:t>
      </w:r>
    </w:p>
    <w:p w:rsidR="005D50F5" w:rsidRPr="005D50F5" w:rsidRDefault="005D50F5" w:rsidP="005D50F5">
      <w:pPr>
        <w:shd w:val="clear" w:color="auto" w:fill="FFFFFF"/>
        <w:spacing w:after="48" w:line="240" w:lineRule="auto"/>
        <w:ind w:left="192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c)</w:t>
      </w:r>
    </w:p>
    <w:p w:rsidR="005D50F5" w:rsidRPr="005D50F5" w:rsidRDefault="005D50F5" w:rsidP="005D50F5">
      <w:pPr>
        <w:shd w:val="clear" w:color="auto" w:fill="FFFFFF"/>
        <w:spacing w:after="48" w:line="240" w:lineRule="auto"/>
        <w:ind w:left="240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is either unwilling or unable to obtain a permit to allow the unit with that number of residents.</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has served the tenants with a 30 day notice, informing the tenants that the number of tenants exceeds the legal limit and must be reduced to the legal limit,</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3)</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After expiration of the 30 day notice, the owner has served the tenants with and the tenants have failed to comply with a ten day notice to comply with the limit on the number of occupants or vacate, and</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4)</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If there is more than one rental agreement for the unit, the owner may choose which agreements to terminate; provided that, the owner may either terminate no more than the minimum number of rental agreements necessary to comply with the legal limit on the number of occupants, or, at the owner's option, terminate only those agreements involving the minimum number of occupants necessary to comply with the legal limit;</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l</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before="48" w:after="0" w:line="240" w:lineRule="auto"/>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1)</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seeks to reduce the number of individuals who reside in one dwelling unit to comply with the legal limit after receipt of a notice of violation of the</w:t>
      </w:r>
      <w:hyperlink r:id="rId18" w:history="1">
        <w:r w:rsidRPr="005D50F5">
          <w:rPr>
            <w:rFonts w:ascii="Arial" w:eastAsia="Times New Roman" w:hAnsi="Arial" w:cs="Arial"/>
            <w:color w:val="2196F3"/>
            <w:spacing w:val="2"/>
            <w:sz w:val="21"/>
            <w:szCs w:val="21"/>
            <w:u w:val="single"/>
          </w:rPr>
          <w:t> Title 23</w:t>
        </w:r>
      </w:hyperlink>
      <w:r w:rsidRPr="005D50F5">
        <w:rPr>
          <w:rFonts w:ascii="Arial" w:eastAsia="Times New Roman" w:hAnsi="Arial" w:cs="Arial"/>
          <w:color w:val="313335"/>
          <w:spacing w:val="2"/>
          <w:sz w:val="21"/>
          <w:szCs w:val="21"/>
        </w:rPr>
        <w:t> restriction on the number of individuals allowed to reside in a dwelling unit, and:</w:t>
      </w:r>
    </w:p>
    <w:p w:rsidR="005D50F5" w:rsidRPr="005D50F5" w:rsidRDefault="005D50F5" w:rsidP="005D50F5">
      <w:pPr>
        <w:shd w:val="clear" w:color="auto" w:fill="FFFFFF"/>
        <w:spacing w:after="48" w:line="240" w:lineRule="auto"/>
        <w:ind w:left="192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a)</w:t>
      </w:r>
    </w:p>
    <w:p w:rsidR="005D50F5" w:rsidRPr="005D50F5" w:rsidRDefault="005D50F5" w:rsidP="005D50F5">
      <w:pPr>
        <w:shd w:val="clear" w:color="auto" w:fill="FFFFFF"/>
        <w:spacing w:after="48" w:line="240" w:lineRule="auto"/>
        <w:ind w:left="240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has served the tenants with a 30 day notice, informing the tenants that the number of tenants exceeds the legal limit and must be reduced to the legal limit; provided that, no 30 day notice is required if the number of tenants was increased above the legal limit without the knowledge or consent of the owner;</w:t>
      </w:r>
    </w:p>
    <w:p w:rsidR="005D50F5" w:rsidRPr="005D50F5" w:rsidRDefault="005D50F5" w:rsidP="005D50F5">
      <w:pPr>
        <w:shd w:val="clear" w:color="auto" w:fill="FFFFFF"/>
        <w:spacing w:after="48" w:line="240" w:lineRule="auto"/>
        <w:ind w:left="192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b)</w:t>
      </w:r>
    </w:p>
    <w:p w:rsidR="005D50F5" w:rsidRPr="005D50F5" w:rsidRDefault="005D50F5" w:rsidP="005D50F5">
      <w:pPr>
        <w:shd w:val="clear" w:color="auto" w:fill="FFFFFF"/>
        <w:spacing w:after="48" w:line="240" w:lineRule="auto"/>
        <w:ind w:left="240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 xml:space="preserve">After expiration of the 30 day notice required by subsection 22.206.160.1.1.a above, or at any time after receipt of the notice of violation if no 30 day notice is required pursuant to subsection 22.206.160.1.1.a, the owner has served the tenants with and the tenants </w:t>
      </w:r>
      <w:r w:rsidRPr="005D50F5">
        <w:rPr>
          <w:rFonts w:ascii="Arial" w:eastAsia="Times New Roman" w:hAnsi="Arial" w:cs="Arial"/>
          <w:color w:val="313335"/>
          <w:spacing w:val="2"/>
          <w:sz w:val="21"/>
          <w:szCs w:val="21"/>
        </w:rPr>
        <w:lastRenderedPageBreak/>
        <w:t>have failed to comply with a ten day notice to comply with the maximum legal limit on the number of occupants or vacate; and</w:t>
      </w:r>
    </w:p>
    <w:p w:rsidR="005D50F5" w:rsidRPr="005D50F5" w:rsidRDefault="005D50F5" w:rsidP="005D50F5">
      <w:pPr>
        <w:shd w:val="clear" w:color="auto" w:fill="FFFFFF"/>
        <w:spacing w:after="48" w:line="240" w:lineRule="auto"/>
        <w:ind w:left="192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c)</w:t>
      </w:r>
    </w:p>
    <w:p w:rsidR="005D50F5" w:rsidRPr="005D50F5" w:rsidRDefault="005D50F5" w:rsidP="005D50F5">
      <w:pPr>
        <w:shd w:val="clear" w:color="auto" w:fill="FFFFFF"/>
        <w:spacing w:after="48" w:line="240" w:lineRule="auto"/>
        <w:ind w:left="240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If there is more than one rental agreement for the unit, the owner may choose which agreements to terminate; provided that, the owner may either terminate no more than the minimum number of rental agreements necessary to comply with the legal limit on the number of occupants, or, at the option of the owner, terminate only those agreements involving the minimum number of occupants necessary to comply with the legal limit.</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For any violation of the maximum legal limit on the number of individuals allowed to reside in a unit that occurred with the knowledge or consent of the owner, the owner is required to pay relocation assistance to the tenant(s) of each such unit at least two weeks prior to the date set for termination of the tenancy, at the rate of:</w:t>
      </w:r>
    </w:p>
    <w:p w:rsidR="005D50F5" w:rsidRPr="005D50F5" w:rsidRDefault="005D50F5" w:rsidP="005D50F5">
      <w:pPr>
        <w:shd w:val="clear" w:color="auto" w:fill="FFFFFF"/>
        <w:spacing w:after="48" w:line="240" w:lineRule="auto"/>
        <w:ind w:left="192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a)</w:t>
      </w:r>
    </w:p>
    <w:p w:rsidR="005D50F5" w:rsidRPr="005D50F5" w:rsidRDefault="005D50F5" w:rsidP="005D50F5">
      <w:pPr>
        <w:shd w:val="clear" w:color="auto" w:fill="FFFFFF"/>
        <w:spacing w:after="48" w:line="240" w:lineRule="auto"/>
        <w:ind w:left="240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$2,000 for a tenant household with an income during the past 12 months at or below 50 percent of the county median income, or</w:t>
      </w:r>
    </w:p>
    <w:p w:rsidR="005D50F5" w:rsidRPr="005D50F5" w:rsidRDefault="005D50F5" w:rsidP="005D50F5">
      <w:pPr>
        <w:shd w:val="clear" w:color="auto" w:fill="FFFFFF"/>
        <w:spacing w:after="48" w:line="240" w:lineRule="auto"/>
        <w:ind w:left="192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b)</w:t>
      </w:r>
    </w:p>
    <w:p w:rsidR="005D50F5" w:rsidRPr="005D50F5" w:rsidRDefault="005D50F5" w:rsidP="005D50F5">
      <w:pPr>
        <w:shd w:val="clear" w:color="auto" w:fill="FFFFFF"/>
        <w:spacing w:after="48" w:line="240" w:lineRule="auto"/>
        <w:ind w:left="240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Two months' rent for a tenant household with an income during the past 12 months above 50 percent of the county median income;</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m</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seeks to discontinue use of an accessory dwelling unit for which a permit has been obtained pursuant to Sections</w:t>
      </w:r>
      <w:hyperlink r:id="rId19" w:history="1">
        <w:r w:rsidRPr="005D50F5">
          <w:rPr>
            <w:rFonts w:ascii="Arial" w:eastAsia="Times New Roman" w:hAnsi="Arial" w:cs="Arial"/>
            <w:color w:val="2196F3"/>
            <w:spacing w:val="2"/>
            <w:sz w:val="21"/>
            <w:szCs w:val="21"/>
            <w:u w:val="single"/>
          </w:rPr>
          <w:t> 23.44.041</w:t>
        </w:r>
      </w:hyperlink>
      <w:r w:rsidRPr="005D50F5">
        <w:rPr>
          <w:rFonts w:ascii="Arial" w:eastAsia="Times New Roman" w:hAnsi="Arial" w:cs="Arial"/>
          <w:color w:val="313335"/>
          <w:spacing w:val="2"/>
          <w:sz w:val="21"/>
          <w:szCs w:val="21"/>
        </w:rPr>
        <w:t> and</w:t>
      </w:r>
      <w:hyperlink r:id="rId20" w:history="1">
        <w:r w:rsidRPr="005D50F5">
          <w:rPr>
            <w:rFonts w:ascii="Arial" w:eastAsia="Times New Roman" w:hAnsi="Arial" w:cs="Arial"/>
            <w:color w:val="2196F3"/>
            <w:spacing w:val="2"/>
            <w:sz w:val="21"/>
            <w:szCs w:val="21"/>
            <w:u w:val="single"/>
          </w:rPr>
          <w:t> 23.45.545</w:t>
        </w:r>
      </w:hyperlink>
      <w:r w:rsidRPr="005D50F5">
        <w:rPr>
          <w:rFonts w:ascii="Arial" w:eastAsia="Times New Roman" w:hAnsi="Arial" w:cs="Arial"/>
          <w:color w:val="313335"/>
          <w:spacing w:val="2"/>
          <w:sz w:val="21"/>
          <w:szCs w:val="21"/>
        </w:rPr>
        <w:t> after receipt of a notice of violation of the development standards provided in those sections. The owner is required to pay relocation assistance to the tenant household residing in such a unit at least two weeks prior to the date set for termination of the tenancy, at the rate of:</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1)</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$2,000 for a tenant household with an income during the past 12 months at or below 50 percent of the county median income, or</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Two months' rent for a tenant household with an income during the past 12 months above 50 percent of the county median income;</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n</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An emergency order requiring that the housing unit be vacated and closed has been issued pursuant to</w:t>
      </w:r>
      <w:hyperlink r:id="rId21" w:history="1">
        <w:r w:rsidRPr="005D50F5">
          <w:rPr>
            <w:rFonts w:ascii="Arial" w:eastAsia="Times New Roman" w:hAnsi="Arial" w:cs="Arial"/>
            <w:color w:val="2196F3"/>
            <w:spacing w:val="2"/>
            <w:sz w:val="21"/>
            <w:szCs w:val="21"/>
            <w:u w:val="single"/>
          </w:rPr>
          <w:t> Section 22.206.260</w:t>
        </w:r>
      </w:hyperlink>
      <w:r w:rsidRPr="005D50F5">
        <w:rPr>
          <w:rFonts w:ascii="Arial" w:eastAsia="Times New Roman" w:hAnsi="Arial" w:cs="Arial"/>
          <w:color w:val="313335"/>
          <w:spacing w:val="2"/>
          <w:sz w:val="21"/>
          <w:szCs w:val="21"/>
        </w:rPr>
        <w:t> and the emergency conditions identified in the order have not been corrected;</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o</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The owner seeks to discontinue sharing with a tenant of the owner's own housing unit, i.e., the unit in which the owner resides, seeks to terminate the tenancy of a tenant of an accessory dwelling unit authorized pursuant to Sections</w:t>
      </w:r>
      <w:hyperlink r:id="rId22" w:history="1">
        <w:r w:rsidRPr="005D50F5">
          <w:rPr>
            <w:rFonts w:ascii="Arial" w:eastAsia="Times New Roman" w:hAnsi="Arial" w:cs="Arial"/>
            <w:color w:val="2196F3"/>
            <w:spacing w:val="2"/>
            <w:sz w:val="21"/>
            <w:szCs w:val="21"/>
            <w:u w:val="single"/>
          </w:rPr>
          <w:t> 23.44.041</w:t>
        </w:r>
      </w:hyperlink>
      <w:r w:rsidRPr="005D50F5">
        <w:rPr>
          <w:rFonts w:ascii="Arial" w:eastAsia="Times New Roman" w:hAnsi="Arial" w:cs="Arial"/>
          <w:color w:val="313335"/>
          <w:spacing w:val="2"/>
          <w:sz w:val="21"/>
          <w:szCs w:val="21"/>
        </w:rPr>
        <w:t> and</w:t>
      </w:r>
      <w:hyperlink r:id="rId23" w:history="1">
        <w:r w:rsidRPr="005D50F5">
          <w:rPr>
            <w:rFonts w:ascii="Arial" w:eastAsia="Times New Roman" w:hAnsi="Arial" w:cs="Arial"/>
            <w:color w:val="2196F3"/>
            <w:spacing w:val="2"/>
            <w:sz w:val="21"/>
            <w:szCs w:val="21"/>
            <w:u w:val="single"/>
          </w:rPr>
          <w:t> 23.45.545</w:t>
        </w:r>
      </w:hyperlink>
      <w:r w:rsidRPr="005D50F5">
        <w:rPr>
          <w:rFonts w:ascii="Arial" w:eastAsia="Times New Roman" w:hAnsi="Arial" w:cs="Arial"/>
          <w:color w:val="313335"/>
          <w:spacing w:val="2"/>
          <w:sz w:val="21"/>
          <w:szCs w:val="21"/>
        </w:rPr>
        <w:t> that is accessory to the housing unit in which the owner resides, or seeks to terminate the tenancy of a tenant in a single-family dwelling unit and the owner resides in an accessory dwelling unit on the same lot. This subsection 22.206.160.C.1.o does not apply if the owner has received a notice of violation of the development standards of</w:t>
      </w:r>
      <w:hyperlink r:id="rId24" w:history="1">
        <w:r w:rsidRPr="005D50F5">
          <w:rPr>
            <w:rFonts w:ascii="Arial" w:eastAsia="Times New Roman" w:hAnsi="Arial" w:cs="Arial"/>
            <w:color w:val="2196F3"/>
            <w:spacing w:val="2"/>
            <w:sz w:val="21"/>
            <w:szCs w:val="21"/>
            <w:u w:val="single"/>
          </w:rPr>
          <w:t> Section 23.44.041</w:t>
        </w:r>
      </w:hyperlink>
      <w:r w:rsidRPr="005D50F5">
        <w:rPr>
          <w:rFonts w:ascii="Arial" w:eastAsia="Times New Roman" w:hAnsi="Arial" w:cs="Arial"/>
          <w:color w:val="313335"/>
          <w:spacing w:val="2"/>
          <w:sz w:val="21"/>
          <w:szCs w:val="21"/>
        </w:rPr>
        <w:t>. If the owner has received such a notice of violation, subsection 22.206.160.C.1.m applies;</w:t>
      </w:r>
    </w:p>
    <w:p w:rsidR="005D50F5" w:rsidRPr="005D50F5" w:rsidRDefault="005D50F5" w:rsidP="005D50F5">
      <w:pPr>
        <w:shd w:val="clear" w:color="auto" w:fill="FFFFFF"/>
        <w:spacing w:after="48" w:line="240" w:lineRule="auto"/>
        <w:ind w:left="960" w:right="240"/>
        <w:rPr>
          <w:rFonts w:ascii="Arial" w:eastAsia="Times New Roman" w:hAnsi="Arial" w:cs="Arial"/>
          <w:color w:val="313335"/>
          <w:spacing w:val="2"/>
          <w:sz w:val="21"/>
          <w:szCs w:val="21"/>
        </w:rPr>
      </w:pPr>
      <w:proofErr w:type="gramStart"/>
      <w:r w:rsidRPr="005D50F5">
        <w:rPr>
          <w:rFonts w:ascii="Arial" w:eastAsia="Times New Roman" w:hAnsi="Arial" w:cs="Arial"/>
          <w:color w:val="313335"/>
          <w:spacing w:val="2"/>
          <w:sz w:val="21"/>
          <w:szCs w:val="21"/>
        </w:rPr>
        <w:t>p</w:t>
      </w:r>
      <w:proofErr w:type="gramEnd"/>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14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lastRenderedPageBreak/>
        <w:t xml:space="preserve">A tenant, or with the consent of the tenant, the tenant's subtenant, </w:t>
      </w:r>
      <w:proofErr w:type="spellStart"/>
      <w:r w:rsidRPr="005D50F5">
        <w:rPr>
          <w:rFonts w:ascii="Arial" w:eastAsia="Times New Roman" w:hAnsi="Arial" w:cs="Arial"/>
          <w:color w:val="313335"/>
          <w:spacing w:val="2"/>
          <w:sz w:val="21"/>
          <w:szCs w:val="21"/>
        </w:rPr>
        <w:t>sublessee</w:t>
      </w:r>
      <w:proofErr w:type="spellEnd"/>
      <w:r w:rsidRPr="005D50F5">
        <w:rPr>
          <w:rFonts w:ascii="Arial" w:eastAsia="Times New Roman" w:hAnsi="Arial" w:cs="Arial"/>
          <w:color w:val="313335"/>
          <w:spacing w:val="2"/>
          <w:sz w:val="21"/>
          <w:szCs w:val="21"/>
        </w:rPr>
        <w:t>, resident, or guest, has engaged in criminal activity on the premises, or on the property or public right-of-way abutting the premises, and the owner has specified in the notice of termination the crime alleged to have been committed and the general facts supporting the allegation, and has assured that the Seattle Department of Construction and Inspections has recorded receipt of a copy of the notice of termination. For purposes of this subsection 22.206.160.C.1.p, a person has "engaged in criminal activity" if he or she:</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1)</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Engages in drug-related activity that would constitute a violation of chapters 69.41, 69.50, or 69.52 RCW, or</w:t>
      </w:r>
    </w:p>
    <w:p w:rsidR="005D50F5" w:rsidRPr="005D50F5" w:rsidRDefault="005D50F5" w:rsidP="005D50F5">
      <w:pPr>
        <w:shd w:val="clear" w:color="auto" w:fill="FFFFFF"/>
        <w:spacing w:after="48" w:line="240" w:lineRule="auto"/>
        <w:ind w:left="144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w:t>
      </w:r>
    </w:p>
    <w:p w:rsidR="005D50F5" w:rsidRPr="005D50F5" w:rsidRDefault="005D50F5" w:rsidP="005D50F5">
      <w:pPr>
        <w:shd w:val="clear" w:color="auto" w:fill="FFFFFF"/>
        <w:spacing w:after="48" w:line="240" w:lineRule="auto"/>
        <w:ind w:left="192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Engages in activity that is a crime under the laws of this state, but only if the activity substantially affects the health or safety of other tenants or the owner.</w:t>
      </w:r>
    </w:p>
    <w:p w:rsidR="005D50F5" w:rsidRPr="005D50F5" w:rsidRDefault="005D50F5" w:rsidP="005D50F5">
      <w:pPr>
        <w:shd w:val="clear" w:color="auto" w:fill="FFFFFF"/>
        <w:spacing w:after="48" w:line="240" w:lineRule="auto"/>
        <w:ind w:left="48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2.</w:t>
      </w:r>
    </w:p>
    <w:p w:rsidR="005D50F5" w:rsidRPr="005D50F5" w:rsidRDefault="005D50F5" w:rsidP="005D50F5">
      <w:pPr>
        <w:shd w:val="clear" w:color="auto" w:fill="FFFFFF"/>
        <w:spacing w:after="48" w:line="240" w:lineRule="auto"/>
        <w:ind w:left="96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Any rental agreement provision which waives or purports to waive any right, benefit or entitlement created by this subsection 22.206.160.C.1.p shall be deemed void and of no lawful force or effect.</w:t>
      </w:r>
    </w:p>
    <w:p w:rsidR="005D50F5" w:rsidRPr="005D50F5" w:rsidRDefault="005D50F5" w:rsidP="005D50F5">
      <w:pPr>
        <w:shd w:val="clear" w:color="auto" w:fill="FFFFFF"/>
        <w:spacing w:after="48" w:line="240" w:lineRule="auto"/>
        <w:ind w:left="48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3.</w:t>
      </w:r>
    </w:p>
    <w:p w:rsidR="005D50F5" w:rsidRPr="005D50F5" w:rsidRDefault="005D50F5" w:rsidP="005D50F5">
      <w:pPr>
        <w:shd w:val="clear" w:color="auto" w:fill="FFFFFF"/>
        <w:spacing w:after="48" w:line="240" w:lineRule="auto"/>
        <w:ind w:left="96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With any termination notices required by law, owners terminating any tenancy protected by this</w:t>
      </w:r>
      <w:hyperlink r:id="rId25" w:history="1">
        <w:r w:rsidRPr="005D50F5">
          <w:rPr>
            <w:rFonts w:ascii="Arial" w:eastAsia="Times New Roman" w:hAnsi="Arial" w:cs="Arial"/>
            <w:color w:val="2196F3"/>
            <w:spacing w:val="2"/>
            <w:sz w:val="21"/>
            <w:szCs w:val="21"/>
            <w:u w:val="single"/>
          </w:rPr>
          <w:t> Section 22.206.160</w:t>
        </w:r>
      </w:hyperlink>
      <w:r w:rsidRPr="005D50F5">
        <w:rPr>
          <w:rFonts w:ascii="Arial" w:eastAsia="Times New Roman" w:hAnsi="Arial" w:cs="Arial"/>
          <w:color w:val="313335"/>
          <w:spacing w:val="2"/>
          <w:sz w:val="21"/>
          <w:szCs w:val="21"/>
        </w:rPr>
        <w:t> shall advise the affected tenant or tenants in writing of the reasons for the termination and the facts in support of those reasons.</w:t>
      </w:r>
    </w:p>
    <w:p w:rsidR="005D50F5" w:rsidRPr="005D50F5" w:rsidRDefault="005D50F5" w:rsidP="005D50F5">
      <w:pPr>
        <w:shd w:val="clear" w:color="auto" w:fill="FFFFFF"/>
        <w:spacing w:after="48" w:line="240" w:lineRule="auto"/>
        <w:ind w:left="48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4.</w:t>
      </w:r>
    </w:p>
    <w:p w:rsidR="005D50F5" w:rsidRPr="005D50F5" w:rsidRDefault="005D50F5" w:rsidP="005D50F5">
      <w:pPr>
        <w:shd w:val="clear" w:color="auto" w:fill="FFFFFF"/>
        <w:spacing w:after="48" w:line="240" w:lineRule="auto"/>
        <w:ind w:left="96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If a tenant who has received a notice of termination of tenancy claiming subsection 22.206.160.C.1.e, 22.206.160.C.1.f, or 22.206.160.C.1.m as the ground for termination believes that the owner does not intend to carry out the stated reason for eviction and makes a complaint to the Director, then the owner must, within ten days of being notified by the Director of the complaint, complete and file with the Director a certification stating the owner's intent to carry out the stated reason for the eviction. The failure of the owner to complete and file such a certification after a complaint by the tenant shall be a defense for the tenant in an eviction action based on this ground.</w:t>
      </w:r>
    </w:p>
    <w:p w:rsidR="005D50F5" w:rsidRPr="005D50F5" w:rsidRDefault="005D50F5" w:rsidP="005D50F5">
      <w:pPr>
        <w:shd w:val="clear" w:color="auto" w:fill="FFFFFF"/>
        <w:spacing w:after="48" w:line="240" w:lineRule="auto"/>
        <w:ind w:left="48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5.</w:t>
      </w:r>
    </w:p>
    <w:p w:rsidR="005D50F5" w:rsidRPr="005D50F5" w:rsidRDefault="005D50F5" w:rsidP="005D50F5">
      <w:pPr>
        <w:shd w:val="clear" w:color="auto" w:fill="FFFFFF"/>
        <w:spacing w:after="48" w:line="240" w:lineRule="auto"/>
        <w:ind w:left="96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 xml:space="preserve">In any action commenced to evict or to otherwise terminate the tenancy of any tenant, it shall be a defense to the action that there was no just cause for such eviction or termination as provided in </w:t>
      </w:r>
      <w:proofErr w:type="spellStart"/>
      <w:r w:rsidRPr="005D50F5">
        <w:rPr>
          <w:rFonts w:ascii="Arial" w:eastAsia="Times New Roman" w:hAnsi="Arial" w:cs="Arial"/>
          <w:color w:val="313335"/>
          <w:spacing w:val="2"/>
          <w:sz w:val="21"/>
          <w:szCs w:val="21"/>
        </w:rPr>
        <w:t>this</w:t>
      </w:r>
      <w:hyperlink r:id="rId26" w:history="1">
        <w:r w:rsidRPr="005D50F5">
          <w:rPr>
            <w:rFonts w:ascii="Arial" w:eastAsia="Times New Roman" w:hAnsi="Arial" w:cs="Arial"/>
            <w:color w:val="2196F3"/>
            <w:spacing w:val="2"/>
            <w:sz w:val="21"/>
            <w:szCs w:val="21"/>
            <w:u w:val="single"/>
          </w:rPr>
          <w:t>Section</w:t>
        </w:r>
        <w:proofErr w:type="spellEnd"/>
        <w:r w:rsidRPr="005D50F5">
          <w:rPr>
            <w:rFonts w:ascii="Arial" w:eastAsia="Times New Roman" w:hAnsi="Arial" w:cs="Arial"/>
            <w:color w:val="2196F3"/>
            <w:spacing w:val="2"/>
            <w:sz w:val="21"/>
            <w:szCs w:val="21"/>
            <w:u w:val="single"/>
          </w:rPr>
          <w:t xml:space="preserve"> 22.206.160</w:t>
        </w:r>
      </w:hyperlink>
      <w:r w:rsidRPr="005D50F5">
        <w:rPr>
          <w:rFonts w:ascii="Arial" w:eastAsia="Times New Roman" w:hAnsi="Arial" w:cs="Arial"/>
          <w:color w:val="313335"/>
          <w:spacing w:val="2"/>
          <w:sz w:val="21"/>
          <w:szCs w:val="21"/>
        </w:rPr>
        <w:t>.</w:t>
      </w:r>
    </w:p>
    <w:p w:rsidR="005D50F5" w:rsidRPr="005D50F5" w:rsidRDefault="005D50F5" w:rsidP="005D50F5">
      <w:pPr>
        <w:shd w:val="clear" w:color="auto" w:fill="FFFFFF"/>
        <w:spacing w:after="48" w:line="240" w:lineRule="auto"/>
        <w:ind w:left="48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6.</w:t>
      </w:r>
    </w:p>
    <w:p w:rsidR="005D50F5" w:rsidRPr="005D50F5" w:rsidRDefault="005D50F5" w:rsidP="005D50F5">
      <w:pPr>
        <w:shd w:val="clear" w:color="auto" w:fill="FFFFFF"/>
        <w:spacing w:after="48" w:line="240" w:lineRule="auto"/>
        <w:ind w:left="96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It shall be a violation of this</w:t>
      </w:r>
      <w:hyperlink r:id="rId27" w:history="1">
        <w:r w:rsidRPr="005D50F5">
          <w:rPr>
            <w:rFonts w:ascii="Arial" w:eastAsia="Times New Roman" w:hAnsi="Arial" w:cs="Arial"/>
            <w:color w:val="2196F3"/>
            <w:spacing w:val="2"/>
            <w:sz w:val="21"/>
            <w:szCs w:val="21"/>
            <w:u w:val="single"/>
          </w:rPr>
          <w:t> Section 22.206.160</w:t>
        </w:r>
      </w:hyperlink>
      <w:r w:rsidRPr="005D50F5">
        <w:rPr>
          <w:rFonts w:ascii="Arial" w:eastAsia="Times New Roman" w:hAnsi="Arial" w:cs="Arial"/>
          <w:color w:val="313335"/>
          <w:spacing w:val="2"/>
          <w:sz w:val="21"/>
          <w:szCs w:val="21"/>
        </w:rPr>
        <w:t> for any owner to evict or attempt to evict any tenant or otherwise terminate or attempt to terminate the tenancy of any tenant using a notice which references subsections 22.206.160.C.1.e, 22.206.160.C.1.f, 22.206.160.C.1.h, 22.206.160.C.1.k, 22.206.160.C.1.l, or 22.206.160.C.1.m as grounds for eviction or termination of tenancy without fulfilling or carrying out the stated reason for or condition justifying the termination of such tenancy.</w:t>
      </w:r>
    </w:p>
    <w:p w:rsidR="005D50F5" w:rsidRPr="005D50F5" w:rsidRDefault="005D50F5" w:rsidP="005D50F5">
      <w:pPr>
        <w:shd w:val="clear" w:color="auto" w:fill="FFFFFF"/>
        <w:spacing w:after="48" w:line="240" w:lineRule="auto"/>
        <w:ind w:left="480" w:right="24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7.</w:t>
      </w:r>
    </w:p>
    <w:p w:rsidR="005D50F5" w:rsidRPr="005D50F5" w:rsidRDefault="005D50F5" w:rsidP="005D50F5">
      <w:pPr>
        <w:shd w:val="clear" w:color="auto" w:fill="FFFFFF"/>
        <w:spacing w:after="48" w:line="240" w:lineRule="auto"/>
        <w:ind w:left="960"/>
        <w:rPr>
          <w:rFonts w:ascii="Arial" w:eastAsia="Times New Roman" w:hAnsi="Arial" w:cs="Arial"/>
          <w:color w:val="313335"/>
          <w:spacing w:val="2"/>
          <w:sz w:val="21"/>
          <w:szCs w:val="21"/>
        </w:rPr>
      </w:pPr>
      <w:r w:rsidRPr="005D50F5">
        <w:rPr>
          <w:rFonts w:ascii="Arial" w:eastAsia="Times New Roman" w:hAnsi="Arial" w:cs="Arial"/>
          <w:color w:val="313335"/>
          <w:spacing w:val="2"/>
          <w:sz w:val="21"/>
          <w:szCs w:val="21"/>
        </w:rPr>
        <w:t>An owner who evicts or attempts to evict a tenant or who terminates or attempts to terminate the tenancy of a tenant using a notice which references subsections 22.206.160.C.1.e, 22.206.160.C.1.f or 22.206.160.C.1.h as the ground for eviction or termination of tenancy without fulfilling or carrying out the stated reason for or condition justifying the termination of such tenancy shall be liable to such tenant in a private right for action for damages up to $2,000, costs of suit, or arbitration and reasonable attorney's fees.</w:t>
      </w:r>
    </w:p>
    <w:sectPr w:rsidR="005D50F5" w:rsidRPr="005D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E7"/>
    <w:multiLevelType w:val="hybridMultilevel"/>
    <w:tmpl w:val="8BE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E0D7D"/>
    <w:multiLevelType w:val="multilevel"/>
    <w:tmpl w:val="3426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E0"/>
    <w:rsid w:val="00285E1E"/>
    <w:rsid w:val="005173E0"/>
    <w:rsid w:val="005D50F5"/>
    <w:rsid w:val="005E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1">
    <w:name w:val="content1"/>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50F5"/>
    <w:rPr>
      <w:color w:val="0000FF"/>
      <w:u w:val="single"/>
    </w:rPr>
  </w:style>
  <w:style w:type="character" w:customStyle="1" w:styleId="apple-converted-space">
    <w:name w:val="apple-converted-space"/>
    <w:basedOn w:val="DefaultParagraphFont"/>
    <w:rsid w:val="005D50F5"/>
  </w:style>
  <w:style w:type="paragraph" w:customStyle="1" w:styleId="incr2">
    <w:name w:val="incr2"/>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ml4">
    <w:name w:val="incr_ml4"/>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5">
    <w:name w:val="content5"/>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4">
    <w:name w:val="incr4"/>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ml3">
    <w:name w:val="incr_ml3"/>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1">
    <w:name w:val="content1"/>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50F5"/>
    <w:rPr>
      <w:color w:val="0000FF"/>
      <w:u w:val="single"/>
    </w:rPr>
  </w:style>
  <w:style w:type="character" w:customStyle="1" w:styleId="apple-converted-space">
    <w:name w:val="apple-converted-space"/>
    <w:basedOn w:val="DefaultParagraphFont"/>
    <w:rsid w:val="005D50F5"/>
  </w:style>
  <w:style w:type="paragraph" w:customStyle="1" w:styleId="incr2">
    <w:name w:val="incr2"/>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3">
    <w:name w:val="incr3"/>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ml4">
    <w:name w:val="incr_ml4"/>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5">
    <w:name w:val="content5"/>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4">
    <w:name w:val="incr4"/>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ml3">
    <w:name w:val="incr_ml3"/>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5D50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7881">
      <w:bodyDiv w:val="1"/>
      <w:marLeft w:val="0"/>
      <w:marRight w:val="0"/>
      <w:marTop w:val="0"/>
      <w:marBottom w:val="0"/>
      <w:divBdr>
        <w:top w:val="none" w:sz="0" w:space="0" w:color="auto"/>
        <w:left w:val="none" w:sz="0" w:space="0" w:color="auto"/>
        <w:bottom w:val="none" w:sz="0" w:space="0" w:color="auto"/>
        <w:right w:val="none" w:sz="0" w:space="0" w:color="auto"/>
      </w:divBdr>
      <w:divsChild>
        <w:div w:id="817647983">
          <w:marLeft w:val="0"/>
          <w:marRight w:val="0"/>
          <w:marTop w:val="0"/>
          <w:marBottom w:val="0"/>
          <w:divBdr>
            <w:top w:val="none" w:sz="0" w:space="0" w:color="auto"/>
            <w:left w:val="none" w:sz="0" w:space="0" w:color="auto"/>
            <w:bottom w:val="none" w:sz="0" w:space="0" w:color="auto"/>
            <w:right w:val="none" w:sz="0" w:space="0" w:color="auto"/>
          </w:divBdr>
          <w:divsChild>
            <w:div w:id="1860464038">
              <w:marLeft w:val="0"/>
              <w:marRight w:val="0"/>
              <w:marTop w:val="0"/>
              <w:marBottom w:val="0"/>
              <w:divBdr>
                <w:top w:val="none" w:sz="0" w:space="0" w:color="auto"/>
                <w:left w:val="none" w:sz="0" w:space="0" w:color="auto"/>
                <w:bottom w:val="none" w:sz="0" w:space="0" w:color="auto"/>
                <w:right w:val="none" w:sz="0" w:space="0" w:color="auto"/>
              </w:divBdr>
              <w:divsChild>
                <w:div w:id="1295212493">
                  <w:marLeft w:val="0"/>
                  <w:marRight w:val="0"/>
                  <w:marTop w:val="0"/>
                  <w:marBottom w:val="0"/>
                  <w:divBdr>
                    <w:top w:val="none" w:sz="0" w:space="0" w:color="auto"/>
                    <w:left w:val="none" w:sz="0" w:space="0" w:color="auto"/>
                    <w:bottom w:val="none" w:sz="0" w:space="0" w:color="auto"/>
                    <w:right w:val="none" w:sz="0" w:space="0" w:color="auto"/>
                  </w:divBdr>
                  <w:divsChild>
                    <w:div w:id="1046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13290">
      <w:bodyDiv w:val="1"/>
      <w:marLeft w:val="0"/>
      <w:marRight w:val="0"/>
      <w:marTop w:val="0"/>
      <w:marBottom w:val="0"/>
      <w:divBdr>
        <w:top w:val="none" w:sz="0" w:space="0" w:color="auto"/>
        <w:left w:val="none" w:sz="0" w:space="0" w:color="auto"/>
        <w:bottom w:val="none" w:sz="0" w:space="0" w:color="auto"/>
        <w:right w:val="none" w:sz="0" w:space="0" w:color="auto"/>
      </w:divBdr>
      <w:divsChild>
        <w:div w:id="904293015">
          <w:marLeft w:val="0"/>
          <w:marRight w:val="0"/>
          <w:marTop w:val="0"/>
          <w:marBottom w:val="0"/>
          <w:divBdr>
            <w:top w:val="none" w:sz="0" w:space="0" w:color="auto"/>
            <w:left w:val="none" w:sz="0" w:space="0" w:color="auto"/>
            <w:bottom w:val="none" w:sz="0" w:space="0" w:color="auto"/>
            <w:right w:val="none" w:sz="0" w:space="0" w:color="auto"/>
          </w:divBdr>
          <w:divsChild>
            <w:div w:id="448864313">
              <w:marLeft w:val="0"/>
              <w:marRight w:val="0"/>
              <w:marTop w:val="0"/>
              <w:marBottom w:val="0"/>
              <w:divBdr>
                <w:top w:val="none" w:sz="0" w:space="0" w:color="auto"/>
                <w:left w:val="none" w:sz="0" w:space="0" w:color="auto"/>
                <w:bottom w:val="none" w:sz="0" w:space="0" w:color="auto"/>
                <w:right w:val="none" w:sz="0" w:space="0" w:color="auto"/>
              </w:divBdr>
              <w:divsChild>
                <w:div w:id="577061857">
                  <w:marLeft w:val="0"/>
                  <w:marRight w:val="0"/>
                  <w:marTop w:val="0"/>
                  <w:marBottom w:val="0"/>
                  <w:divBdr>
                    <w:top w:val="none" w:sz="0" w:space="0" w:color="auto"/>
                    <w:left w:val="none" w:sz="0" w:space="0" w:color="auto"/>
                    <w:bottom w:val="none" w:sz="0" w:space="0" w:color="auto"/>
                    <w:right w:val="none" w:sz="0" w:space="0" w:color="auto"/>
                  </w:divBdr>
                  <w:divsChild>
                    <w:div w:id="4239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ode.com/library/wa/seattle/codes/municipal_code?nodeId=TIT22BUCOCO_SUBTITLE_IIHOCO_CH22.206HABU_SUBCHAPTER_VIDUOWTE_22.206.160DUOW" TargetMode="External"/><Relationship Id="rId13" Type="http://schemas.openxmlformats.org/officeDocument/2006/relationships/hyperlink" Target="https://www.municode.com/library/wa/seattle/codes/municipal_code?nodeId=TIT22BUCOCO_SUBTITLE_XMIRURE_CH22.903COCO_22.903.035NOREAS" TargetMode="External"/><Relationship Id="rId18" Type="http://schemas.openxmlformats.org/officeDocument/2006/relationships/hyperlink" Target="https://www.municode.com/library/wa/seattle/codes/municipal_code?nodeId=TIT23LAUSCO" TargetMode="External"/><Relationship Id="rId26" Type="http://schemas.openxmlformats.org/officeDocument/2006/relationships/hyperlink" Target="https://www.municode.com/library/wa/seattle/codes/municipal_code?nodeId=TIT22BUCOCO_SUBTITLE_IIHOCO_CH22.206HABU_SUBCHAPTER_VIDUOWTE_22.206.160DUOW" TargetMode="External"/><Relationship Id="rId3" Type="http://schemas.microsoft.com/office/2007/relationships/stylesWithEffects" Target="stylesWithEffects.xml"/><Relationship Id="rId21" Type="http://schemas.openxmlformats.org/officeDocument/2006/relationships/hyperlink" Target="https://www.municode.com/library/wa/seattle/codes/municipal_code?nodeId=TIT22BUCOCO_SUBTITLE_IIHOCO_CH22.206HABU_SUBCHAPTER_VIIALMADEVAEN_22.206.260EMOR" TargetMode="External"/><Relationship Id="rId7" Type="http://schemas.openxmlformats.org/officeDocument/2006/relationships/hyperlink" Target="https://www.municode.com/library/wa/seattle/codes/municipal_code?nodeId=TIT22BUCOCO_SUBTITLE_IIHOCO_CH22.206HABU_SUBCHAPTER_VIDUOWTE_22.206.160DUOW" TargetMode="External"/><Relationship Id="rId12" Type="http://schemas.openxmlformats.org/officeDocument/2006/relationships/hyperlink" Target="https://www.municode.com/library/wa/seattle/codes/municipal_code?nodeId=TIT22BUCOCO_SUBTITLE_XMIRURE_CH22.903COCO_22.903.030REAS" TargetMode="External"/><Relationship Id="rId17" Type="http://schemas.openxmlformats.org/officeDocument/2006/relationships/hyperlink" Target="https://www.municode.com/library/wa/seattle/codes/municipal_code?nodeId=TIT23LAUSCO" TargetMode="External"/><Relationship Id="rId25" Type="http://schemas.openxmlformats.org/officeDocument/2006/relationships/hyperlink" Target="https://www.municode.com/library/wa/seattle/codes/municipal_code?nodeId=TIT22BUCOCO_SUBTITLE_IIHOCO_CH22.206HABU_SUBCHAPTER_VIDUOWTE_22.206.160DUOW" TargetMode="External"/><Relationship Id="rId2" Type="http://schemas.openxmlformats.org/officeDocument/2006/relationships/styles" Target="styles.xml"/><Relationship Id="rId16" Type="http://schemas.openxmlformats.org/officeDocument/2006/relationships/hyperlink" Target="https://www.municode.com/library/wa/seattle/codes/municipal_code?nodeId=TIT23LAUSCO" TargetMode="External"/><Relationship Id="rId20" Type="http://schemas.openxmlformats.org/officeDocument/2006/relationships/hyperlink" Target="https://www.municode.com/library/wa/seattle/codes/municipal_code?nodeId=TIT23LAUSCO_SUBTITLE_IIILAUSRE_CH23.45MUMI_23.45.545STCEAC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unicode.com/library/wa/seattle/codes/municipal_code?nodeId=TIT22BUCOCO_SUBTITLE_IIHOCO_CH22.214REREINOR_22.214.040REHORECODERE" TargetMode="External"/><Relationship Id="rId11" Type="http://schemas.openxmlformats.org/officeDocument/2006/relationships/hyperlink" Target="https://www.municode.com/library/wa/seattle/codes/municipal_code?nodeId=TIT22BUCOCO_SUBTITLE_IIHOCO_CH22.210TEREAS" TargetMode="External"/><Relationship Id="rId24" Type="http://schemas.openxmlformats.org/officeDocument/2006/relationships/hyperlink" Target="https://www.municode.com/library/wa/seattle/codes/municipal_code?nodeId=TIT23LAUSCO_SUBTITLE_IIILAUSRE_CH23.44RESIMI_SUBCHAPTER_IIIACUS_23.44.041ACDWUN" TargetMode="External"/><Relationship Id="rId5" Type="http://schemas.openxmlformats.org/officeDocument/2006/relationships/webSettings" Target="webSettings.xml"/><Relationship Id="rId15" Type="http://schemas.openxmlformats.org/officeDocument/2006/relationships/hyperlink" Target="https://www.municode.com/library/wa/seattle/codes/municipal_code?nodeId=TIT23LAUSCO" TargetMode="External"/><Relationship Id="rId23" Type="http://schemas.openxmlformats.org/officeDocument/2006/relationships/hyperlink" Target="https://www.municode.com/library/wa/seattle/codes/municipal_code?nodeId=TIT23LAUSCO_SUBTITLE_IIILAUSRE_CH23.45MUMI_23.45.545STCEACUS" TargetMode="External"/><Relationship Id="rId28" Type="http://schemas.openxmlformats.org/officeDocument/2006/relationships/fontTable" Target="fontTable.xml"/><Relationship Id="rId10" Type="http://schemas.openxmlformats.org/officeDocument/2006/relationships/hyperlink" Target="https://www.municode.com/library/wa/seattle/codes/municipal_code?nodeId=TIT22BUCOCO_SUBTITLE_IIHOCO_CH22.210TEREAS" TargetMode="External"/><Relationship Id="rId19" Type="http://schemas.openxmlformats.org/officeDocument/2006/relationships/hyperlink" Target="https://www.municode.com/library/wa/seattle/codes/municipal_code?nodeId=TIT23LAUSCO_SUBTITLE_IIILAUSRE_CH23.44RESIMI_SUBCHAPTER_IIIACUS_23.44.041ACDWUN" TargetMode="External"/><Relationship Id="rId4" Type="http://schemas.openxmlformats.org/officeDocument/2006/relationships/settings" Target="settings.xml"/><Relationship Id="rId9" Type="http://schemas.openxmlformats.org/officeDocument/2006/relationships/hyperlink" Target="https://www.municode.com/library/wa/seattle/codes/municipal_code?nodeId=TIT22BUCOCO_SUBTITLE_IIHOCO_CH22.206HABU_SUBCHAPTER_VIDUOWTE_22.206.160DUOW" TargetMode="External"/><Relationship Id="rId14" Type="http://schemas.openxmlformats.org/officeDocument/2006/relationships/hyperlink" Target="https://www.municode.com/library/wa/seattle/codes/municipal_code?nodeId=TIT23LAUSCO" TargetMode="External"/><Relationship Id="rId22" Type="http://schemas.openxmlformats.org/officeDocument/2006/relationships/hyperlink" Target="https://www.municode.com/library/wa/seattle/codes/municipal_code?nodeId=TIT23LAUSCO_SUBTITLE_IIILAUSRE_CH23.44RESIMI_SUBCHAPTER_IIIACUS_23.44.041ACDWUN" TargetMode="External"/><Relationship Id="rId27" Type="http://schemas.openxmlformats.org/officeDocument/2006/relationships/hyperlink" Target="https://www.municode.com/library/wa/seattle/codes/municipal_code?nodeId=TIT22BUCOCO_SUBTITLE_IIHOCO_CH22.206HABU_SUBCHAPTER_VIDUOWTE_22.206.160DU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6</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Tenants Union</dc:creator>
  <cp:lastModifiedBy>Tenants Union</cp:lastModifiedBy>
  <cp:revision>2</cp:revision>
  <dcterms:created xsi:type="dcterms:W3CDTF">2016-12-06T21:38:00Z</dcterms:created>
  <dcterms:modified xsi:type="dcterms:W3CDTF">2016-12-07T22:44:00Z</dcterms:modified>
</cp:coreProperties>
</file>